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EB8CF57" w:rsidR="00EA44E4" w:rsidRDefault="00462B98" w:rsidP="00423EA3">
      <w:pPr>
        <w:spacing w:after="0"/>
        <w:jc w:val="both"/>
        <w:rPr>
          <w:b/>
          <w:sz w:val="28"/>
          <w:szCs w:val="28"/>
        </w:rPr>
      </w:pPr>
      <w:r>
        <w:rPr>
          <w:b/>
          <w:sz w:val="28"/>
          <w:szCs w:val="28"/>
        </w:rPr>
        <w:t xml:space="preserve">Modul jako základní jednotka pro sestavení programu pro </w:t>
      </w:r>
      <w:r w:rsidRPr="007645C3">
        <w:rPr>
          <w:b/>
          <w:sz w:val="28"/>
          <w:szCs w:val="28"/>
        </w:rPr>
        <w:t>systematickou katechezi</w:t>
      </w:r>
      <w:r>
        <w:rPr>
          <w:b/>
          <w:sz w:val="28"/>
          <w:szCs w:val="28"/>
          <w:u w:val="single"/>
        </w:rPr>
        <w:t xml:space="preserve"> </w:t>
      </w:r>
      <w:r>
        <w:rPr>
          <w:b/>
          <w:sz w:val="28"/>
          <w:szCs w:val="28"/>
        </w:rPr>
        <w:t>dětí</w:t>
      </w:r>
    </w:p>
    <w:p w14:paraId="00000003" w14:textId="344A8C77" w:rsidR="00EA44E4" w:rsidRDefault="00462B98" w:rsidP="00423EA3">
      <w:pPr>
        <w:spacing w:before="120"/>
        <w:jc w:val="both"/>
        <w:rPr>
          <w:i/>
        </w:rPr>
      </w:pPr>
      <w:bookmarkStart w:id="0" w:name="_heading=h.gjdgxs" w:colFirst="0" w:colLast="0"/>
      <w:bookmarkEnd w:id="0"/>
      <w:r>
        <w:rPr>
          <w:i/>
        </w:rPr>
        <w:t>Inspirováno materiálem “</w:t>
      </w:r>
      <w:proofErr w:type="spellStart"/>
      <w:r>
        <w:rPr>
          <w:i/>
        </w:rPr>
        <w:t>Caté-clic</w:t>
      </w:r>
      <w:proofErr w:type="spellEnd"/>
      <w:r>
        <w:rPr>
          <w:i/>
        </w:rPr>
        <w:t xml:space="preserve">”, vytvořeným Diecézním centrem pro katechezi diecéze </w:t>
      </w:r>
      <w:proofErr w:type="spellStart"/>
      <w:r>
        <w:rPr>
          <w:i/>
        </w:rPr>
        <w:t>Carcassone</w:t>
      </w:r>
      <w:proofErr w:type="spellEnd"/>
      <w:r>
        <w:rPr>
          <w:i/>
        </w:rPr>
        <w:t xml:space="preserve"> ve Francii v roce 2006</w:t>
      </w:r>
      <w:r w:rsidR="008F01A8">
        <w:rPr>
          <w:i/>
        </w:rPr>
        <w:t>.</w:t>
      </w:r>
    </w:p>
    <w:p w14:paraId="00000004" w14:textId="068FA3E9" w:rsidR="00EA44E4" w:rsidRDefault="00462B98" w:rsidP="00423EA3">
      <w:pPr>
        <w:jc w:val="both"/>
        <w:rPr>
          <w:b/>
        </w:rPr>
      </w:pPr>
      <w:bookmarkStart w:id="1" w:name="_heading=h.tm2teoug9zjk" w:colFirst="0" w:colLast="0"/>
      <w:bookmarkEnd w:id="1"/>
      <w:r>
        <w:rPr>
          <w:b/>
        </w:rPr>
        <w:t>Rozlišení výuky náboženství a katecheze</w:t>
      </w:r>
      <w:r w:rsidR="00C206E5">
        <w:rPr>
          <w:b/>
        </w:rPr>
        <w:t>:</w:t>
      </w:r>
    </w:p>
    <w:p w14:paraId="00000005" w14:textId="0372900C" w:rsidR="00EA44E4" w:rsidRDefault="00462B98" w:rsidP="00423EA3">
      <w:pPr>
        <w:spacing w:after="240"/>
        <w:jc w:val="both"/>
      </w:pPr>
      <w:r>
        <w:rPr>
          <w:b/>
        </w:rPr>
        <w:t xml:space="preserve">Cílem výuky náboženství </w:t>
      </w:r>
      <w:r>
        <w:t>je přivést člověka k svobodnému a odpovědnému postoji vůči víře a</w:t>
      </w:r>
      <w:r w:rsidR="00A977DA">
        <w:t> </w:t>
      </w:r>
      <w:r>
        <w:t>náboženství, a posléze k prvotní či obnovené konverzi.</w:t>
      </w:r>
    </w:p>
    <w:p w14:paraId="00000006" w14:textId="77777777" w:rsidR="00EA44E4" w:rsidRDefault="00462B98" w:rsidP="007645C3">
      <w:pPr>
        <w:spacing w:before="240" w:after="0"/>
        <w:jc w:val="both"/>
      </w:pPr>
      <w:bookmarkStart w:id="2" w:name="_heading=h.1oq8hoirr1c6" w:colFirst="0" w:colLast="0"/>
      <w:bookmarkEnd w:id="2"/>
      <w:r w:rsidRPr="008F01A8">
        <w:rPr>
          <w:b/>
        </w:rPr>
        <w:t>Konečným</w:t>
      </w:r>
      <w:r>
        <w:t xml:space="preserve"> </w:t>
      </w:r>
      <w:r>
        <w:rPr>
          <w:b/>
        </w:rPr>
        <w:t xml:space="preserve">cílem katecheze </w:t>
      </w:r>
      <w:r>
        <w:t xml:space="preserve">je uvést člověka až do důvěrného vztahu k Ježíši Kristu a skrze Něho k Otci v Duchu svatém. </w:t>
      </w:r>
    </w:p>
    <w:p w14:paraId="00000007" w14:textId="4F2F3AAE" w:rsidR="00EA44E4" w:rsidRDefault="00462B98" w:rsidP="007645C3">
      <w:pPr>
        <w:spacing w:before="120" w:after="120"/>
        <w:jc w:val="both"/>
        <w:rPr>
          <w:b/>
          <w:color w:val="828250"/>
        </w:rPr>
      </w:pPr>
      <w:bookmarkStart w:id="3" w:name="_heading=h.qd9xkiph35y4" w:colFirst="0" w:colLast="0"/>
      <w:bookmarkEnd w:id="3"/>
      <w:r>
        <w:t xml:space="preserve">Obě tyto služby církve spolu úzce souvisejí; už proto, že vycházejí z jednoho a téhož základu, jímž je Písmo a Tradice. Zatímco však </w:t>
      </w:r>
      <w:r w:rsidRPr="008F01A8">
        <w:t>výuka náboženství</w:t>
      </w:r>
      <w:r>
        <w:t xml:space="preserve"> pojednává např. o Bibli, o svaté zemi, o církvi a jejích dějinách či struktuře, o židovském i křesťanském slavení velikonoc, </w:t>
      </w:r>
      <w:r w:rsidRPr="008F01A8">
        <w:t>v katechezi</w:t>
      </w:r>
      <w:r>
        <w:t xml:space="preserve"> se jedná o výchovu vztahu k živému Kristu, který je cestou k Otci. Jeho oslovuji v modlitbě, slavím a přijímám v liturgii, podle jeho příkladu se učím žít pravdivě a zodpovědně vůči sobě samému i vůči bližním, milovat i</w:t>
      </w:r>
      <w:r w:rsidR="00A977DA">
        <w:t> </w:t>
      </w:r>
      <w:r>
        <w:t>nepřátele, znovu a znovu odpouštět.</w:t>
      </w:r>
    </w:p>
    <w:p w14:paraId="00000008" w14:textId="77777777" w:rsidR="00EA44E4" w:rsidRPr="00C206E5" w:rsidRDefault="00462B98" w:rsidP="00423EA3">
      <w:pPr>
        <w:spacing w:before="120" w:after="240"/>
        <w:jc w:val="both"/>
        <w:rPr>
          <w:i/>
        </w:rPr>
      </w:pPr>
      <w:bookmarkStart w:id="4" w:name="_heading=h.4oit8au37m98" w:colFirst="0" w:colLast="0"/>
      <w:bookmarkEnd w:id="4"/>
      <w:r>
        <w:t xml:space="preserve"> </w:t>
      </w:r>
      <w:r w:rsidRPr="00C206E5">
        <w:t>(</w:t>
      </w:r>
      <w:r w:rsidRPr="00C206E5">
        <w:rPr>
          <w:i/>
        </w:rPr>
        <w:t>Ludvík Dřímal: Katecheze a výuka náboženství v katolické církvi po 2. vatikánském sněmu)</w:t>
      </w:r>
    </w:p>
    <w:p w14:paraId="00000009" w14:textId="77777777" w:rsidR="00EA44E4" w:rsidRPr="00C206E5" w:rsidRDefault="00462B98" w:rsidP="00423EA3">
      <w:pPr>
        <w:spacing w:after="0"/>
        <w:jc w:val="both"/>
        <w:rPr>
          <w:b/>
        </w:rPr>
      </w:pPr>
      <w:r w:rsidRPr="00C206E5">
        <w:rPr>
          <w:b/>
        </w:rPr>
        <w:t>Zkušenost:</w:t>
      </w:r>
    </w:p>
    <w:p w14:paraId="0000000A" w14:textId="77777777" w:rsidR="00EA44E4" w:rsidRPr="00C206E5" w:rsidRDefault="00462B98" w:rsidP="00423EA3">
      <w:pPr>
        <w:spacing w:after="0" w:line="240" w:lineRule="auto"/>
        <w:jc w:val="both"/>
      </w:pPr>
      <w:r w:rsidRPr="00C206E5">
        <w:t>Je to hermeneutická kategorie k označení bezprostředního setkání celé osoby s konkrétní skutečností.</w:t>
      </w:r>
    </w:p>
    <w:p w14:paraId="0000000B" w14:textId="2AFB8EC8" w:rsidR="00EA44E4" w:rsidRPr="00C206E5" w:rsidRDefault="00462B98" w:rsidP="00423EA3">
      <w:pPr>
        <w:spacing w:after="0" w:line="240" w:lineRule="auto"/>
        <w:jc w:val="both"/>
      </w:pPr>
      <w:r w:rsidRPr="00C206E5">
        <w:t>Vzniká postupným procesem: prožitek, reflexe, interpretace → objektivizace</w:t>
      </w:r>
      <w:r w:rsidR="008F01A8">
        <w:t>.</w:t>
      </w:r>
    </w:p>
    <w:p w14:paraId="0000000C" w14:textId="0FA14CD0" w:rsidR="00EA44E4" w:rsidRPr="00C206E5" w:rsidRDefault="00462B98" w:rsidP="00423EA3">
      <w:pPr>
        <w:spacing w:after="0" w:line="240" w:lineRule="auto"/>
        <w:jc w:val="both"/>
      </w:pPr>
      <w:bookmarkStart w:id="5" w:name="_heading=h.6tb62wuatzxv" w:colFirst="0" w:colLast="0"/>
      <w:bookmarkEnd w:id="5"/>
      <w:r w:rsidRPr="00C206E5">
        <w:t>Význam zkušenosti: zprostředkuje celistvější poznání, protože angažuje nejen rozum, ale i vůli, smysly, emoce</w:t>
      </w:r>
      <w:r w:rsidR="008F01A8">
        <w:t>.</w:t>
      </w:r>
      <w:r w:rsidRPr="00C206E5">
        <w:t xml:space="preserve"> </w:t>
      </w:r>
    </w:p>
    <w:p w14:paraId="0000000E" w14:textId="77777777" w:rsidR="00EA44E4" w:rsidRPr="00C206E5" w:rsidRDefault="00462B98" w:rsidP="00423EA3">
      <w:pPr>
        <w:spacing w:before="240" w:after="0"/>
        <w:jc w:val="both"/>
        <w:rPr>
          <w:b/>
        </w:rPr>
      </w:pPr>
      <w:bookmarkStart w:id="6" w:name="_heading=h.t3tyxyryks0x" w:colFirst="0" w:colLast="0"/>
      <w:bookmarkStart w:id="7" w:name="_heading=h.zvo9wo745d" w:colFirst="0" w:colLast="0"/>
      <w:bookmarkEnd w:id="6"/>
      <w:bookmarkEnd w:id="7"/>
      <w:r w:rsidRPr="00C206E5">
        <w:rPr>
          <w:b/>
        </w:rPr>
        <w:t>Zkušenost křesťanské víry:</w:t>
      </w:r>
    </w:p>
    <w:p w14:paraId="0000000F" w14:textId="6D1C2FB4" w:rsidR="00EA44E4" w:rsidRPr="00C206E5" w:rsidRDefault="00462B98" w:rsidP="00423EA3">
      <w:pPr>
        <w:spacing w:after="0" w:line="240" w:lineRule="auto"/>
        <w:jc w:val="both"/>
      </w:pPr>
      <w:r w:rsidRPr="00C206E5">
        <w:t>Vychází ze zkušenosti, jejímž konkrétním ztvárněním je Písmo sv. a živá Tradice</w:t>
      </w:r>
      <w:r w:rsidR="008F01A8">
        <w:t>.</w:t>
      </w:r>
    </w:p>
    <w:p w14:paraId="00000012" w14:textId="6D5EEB9F" w:rsidR="00EA44E4" w:rsidRPr="00C206E5" w:rsidRDefault="00462B98" w:rsidP="00423EA3">
      <w:pPr>
        <w:spacing w:after="0" w:line="240" w:lineRule="auto"/>
        <w:jc w:val="both"/>
      </w:pPr>
      <w:r w:rsidRPr="00C206E5">
        <w:t>Vzniká prohlubováním mé vlastní zkušenosti z profánních situací</w:t>
      </w:r>
      <w:r w:rsidR="008F01A8">
        <w:t xml:space="preserve"> </w:t>
      </w:r>
      <w:r w:rsidRPr="00C206E5">
        <w:t>a dynamickou identifikací mé vlastní „cesty“ zkušenosti se základní zkušeností</w:t>
      </w:r>
      <w:r w:rsidR="008F01A8">
        <w:t xml:space="preserve"> </w:t>
      </w:r>
      <w:bookmarkStart w:id="8" w:name="_heading=h.tat7d9pvri9m" w:colFirst="0" w:colLast="0"/>
      <w:bookmarkEnd w:id="8"/>
      <w:r w:rsidRPr="00C206E5">
        <w:t>víry církve</w:t>
      </w:r>
      <w:r w:rsidR="008F01A8">
        <w:t>.</w:t>
      </w:r>
    </w:p>
    <w:p w14:paraId="7D8D6215" w14:textId="77777777" w:rsidR="00C206E5" w:rsidRDefault="00462B98" w:rsidP="00423EA3">
      <w:pPr>
        <w:spacing w:before="240" w:after="0" w:line="240" w:lineRule="auto"/>
        <w:jc w:val="both"/>
      </w:pPr>
      <w:bookmarkStart w:id="9" w:name="_heading=h.u5haeni5zg7x" w:colFirst="0" w:colLast="0"/>
      <w:bookmarkStart w:id="10" w:name="_heading=h.e2tb9w4sa2mw" w:colFirst="0" w:colLast="0"/>
      <w:bookmarkEnd w:id="9"/>
      <w:bookmarkEnd w:id="10"/>
      <w:r w:rsidRPr="00C206E5">
        <w:rPr>
          <w:b/>
        </w:rPr>
        <w:t>Úkoly katecheze:</w:t>
      </w:r>
      <w:r w:rsidRPr="00C206E5">
        <w:t xml:space="preserve"> </w:t>
      </w:r>
    </w:p>
    <w:p w14:paraId="00000014" w14:textId="6D822DDE" w:rsidR="00EA44E4" w:rsidRPr="00C206E5" w:rsidRDefault="00462B98" w:rsidP="00423EA3">
      <w:pPr>
        <w:spacing w:after="0" w:line="240" w:lineRule="auto"/>
        <w:jc w:val="both"/>
      </w:pPr>
      <w:r w:rsidRPr="00C206E5">
        <w:t>Podněcovat k vytváření zkušenosti</w:t>
      </w:r>
      <w:r w:rsidR="008F01A8">
        <w:t>.</w:t>
      </w:r>
    </w:p>
    <w:p w14:paraId="00000015" w14:textId="36268846" w:rsidR="00EA44E4" w:rsidRPr="00C206E5" w:rsidRDefault="00462B98" w:rsidP="00423EA3">
      <w:pPr>
        <w:spacing w:after="0" w:line="240" w:lineRule="auto"/>
        <w:jc w:val="both"/>
      </w:pPr>
      <w:r w:rsidRPr="00C206E5">
        <w:t>Pomáhat sdělovat zkušenosti</w:t>
      </w:r>
      <w:r w:rsidR="008F01A8">
        <w:t>.</w:t>
      </w:r>
    </w:p>
    <w:p w14:paraId="00000016" w14:textId="7F46AB2F" w:rsidR="00EA44E4" w:rsidRPr="00C206E5" w:rsidRDefault="00462B98" w:rsidP="00423EA3">
      <w:pPr>
        <w:spacing w:after="0" w:line="240" w:lineRule="auto"/>
        <w:jc w:val="both"/>
      </w:pPr>
      <w:bookmarkStart w:id="11" w:name="_heading=h.tntcr3e6svvt" w:colFirst="0" w:colLast="0"/>
      <w:bookmarkEnd w:id="11"/>
      <w:r w:rsidRPr="00C206E5">
        <w:t>Vyjádřit a učit vyjadřovat zkušenosti (pomocí vhodných výrazových prostředků)</w:t>
      </w:r>
      <w:r w:rsidR="008F01A8">
        <w:t>.</w:t>
      </w:r>
    </w:p>
    <w:p w14:paraId="00000018" w14:textId="77777777" w:rsidR="00EA44E4" w:rsidRPr="00C206E5" w:rsidRDefault="00462B98" w:rsidP="007645C3">
      <w:pPr>
        <w:spacing w:before="120" w:after="0" w:line="240" w:lineRule="auto"/>
        <w:jc w:val="both"/>
        <w:rPr>
          <w:i/>
        </w:rPr>
      </w:pPr>
      <w:bookmarkStart w:id="12" w:name="_heading=h.5sr34vvdaj9b" w:colFirst="0" w:colLast="0"/>
      <w:bookmarkStart w:id="13" w:name="_heading=h.dsjkz3oyps2f" w:colFirst="0" w:colLast="0"/>
      <w:bookmarkEnd w:id="12"/>
      <w:bookmarkEnd w:id="13"/>
      <w:r w:rsidRPr="00C206E5">
        <w:rPr>
          <w:i/>
        </w:rPr>
        <w:t>(</w:t>
      </w:r>
      <w:proofErr w:type="spellStart"/>
      <w:proofErr w:type="gramStart"/>
      <w:r w:rsidRPr="00C206E5">
        <w:rPr>
          <w:i/>
        </w:rPr>
        <w:t>L.Dřímal</w:t>
      </w:r>
      <w:proofErr w:type="spellEnd"/>
      <w:proofErr w:type="gramEnd"/>
      <w:r w:rsidRPr="00C206E5">
        <w:rPr>
          <w:i/>
        </w:rPr>
        <w:t>: Katecheze a zkušenost člověk - prezentace)</w:t>
      </w:r>
    </w:p>
    <w:p w14:paraId="0000001A" w14:textId="4F8FC7A2" w:rsidR="00EA44E4" w:rsidRPr="00C206E5" w:rsidRDefault="00462B98" w:rsidP="00423EA3">
      <w:pPr>
        <w:pStyle w:val="Nadpis2"/>
        <w:spacing w:before="240"/>
        <w:jc w:val="both"/>
        <w:rPr>
          <w:rFonts w:ascii="Calibri" w:eastAsia="Calibri" w:hAnsi="Calibri" w:cs="Calibri"/>
          <w:color w:val="000000"/>
          <w:sz w:val="22"/>
          <w:szCs w:val="22"/>
        </w:rPr>
      </w:pPr>
      <w:bookmarkStart w:id="14" w:name="_heading=h.acb5h4emwlx3" w:colFirst="0" w:colLast="0"/>
      <w:bookmarkEnd w:id="14"/>
      <w:r w:rsidRPr="00C206E5">
        <w:rPr>
          <w:rFonts w:ascii="Calibri" w:eastAsia="Calibri" w:hAnsi="Calibri" w:cs="Calibri"/>
          <w:color w:val="000000"/>
          <w:sz w:val="22"/>
          <w:szCs w:val="22"/>
        </w:rPr>
        <w:t>Charakteristika modulu</w:t>
      </w:r>
      <w:r w:rsidR="00C206E5">
        <w:rPr>
          <w:rFonts w:ascii="Calibri" w:eastAsia="Calibri" w:hAnsi="Calibri" w:cs="Calibri"/>
          <w:color w:val="000000"/>
          <w:sz w:val="22"/>
          <w:szCs w:val="22"/>
        </w:rPr>
        <w:t>:</w:t>
      </w:r>
    </w:p>
    <w:p w14:paraId="0000001B" w14:textId="77777777" w:rsidR="00EA44E4" w:rsidRDefault="00462B98" w:rsidP="00423EA3">
      <w:pPr>
        <w:jc w:val="both"/>
      </w:pPr>
      <w:r w:rsidRPr="00C206E5">
        <w:t xml:space="preserve">Jeden modul znamená jedno hlavní téma, kterým se budeme zabývat déle než jedno setkání. To je důležité proto, abychom respektovali způsob, jakým si dítě jednak osvojuje nové poznání (působíme </w:t>
      </w:r>
      <w:r>
        <w:t>na různé složky jeho osobnosti), a jednak abychom vytvořili prostor pro zvnitřnění poselství, které chceme dítěti pomoci objevit a zpřístupnit. Vedeme jej tak k samostatnému přemýšlení o životě a víře.  V každém setkání se budeme zabývat jiným pohledem na téma a využívat různé metody, které se liší svým charakterem a účelem.</w:t>
      </w:r>
    </w:p>
    <w:p w14:paraId="0000001C" w14:textId="77777777" w:rsidR="00EA44E4" w:rsidRDefault="00462B98" w:rsidP="00423EA3">
      <w:pPr>
        <w:jc w:val="both"/>
      </w:pPr>
      <w:r>
        <w:t xml:space="preserve">Moduly budou sloužit jako základní stavební prvky pro sestavení celoročního programu. Není nutné, aby měl celý ročník jedno hlavní téma, ale můžeme vybrat i několik témat během jednoho ročníku. To </w:t>
      </w:r>
      <w:r>
        <w:lastRenderedPageBreak/>
        <w:t xml:space="preserve">umožňuje vyjít vstříc dětem, které začaly docházet ve vyšším ročníku, nebo naopak můžeme předpokládat, že se jí budou účastnit jen jeden rok nebo několik málo let. Můžeme také reagovat na potřebu skupiny dostat „hutnější stravu“ (vybereme modul s rozvíjejícím tématem pro pokročilé), nebo naopak se vrátit k základům. </w:t>
      </w:r>
    </w:p>
    <w:p w14:paraId="0000001D" w14:textId="3A2E9568" w:rsidR="00EA44E4" w:rsidRDefault="00462B98" w:rsidP="00423EA3">
      <w:pPr>
        <w:spacing w:after="240"/>
        <w:jc w:val="both"/>
      </w:pPr>
      <w:r>
        <w:t>Každé téma (=1 modul) je zpracováno vícero způsoby</w:t>
      </w:r>
      <w:r w:rsidR="007F6A68">
        <w:t xml:space="preserve"> např.: metody dramatické výchovy, výtvarné činnosti, </w:t>
      </w:r>
      <w:proofErr w:type="spellStart"/>
      <w:r w:rsidR="007F6A68">
        <w:t>lapbooky</w:t>
      </w:r>
      <w:proofErr w:type="spellEnd"/>
      <w:r w:rsidR="007F6A68">
        <w:t xml:space="preserve">, hry, diskuze, atd. Můžete si je volně doplňovat a rozšiřovat o další činnosti: jako film, </w:t>
      </w:r>
      <w:bookmarkStart w:id="15" w:name="_GoBack"/>
      <w:bookmarkEnd w:id="15"/>
      <w:r>
        <w:t>meditace Božího slova, zpracování tématu kreativním způsobem, písní, hrou a závěrečným slavením. U</w:t>
      </w:r>
      <w:r w:rsidR="009E099D">
        <w:t> </w:t>
      </w:r>
      <w:r>
        <w:t xml:space="preserve">některých témat je možné zařadit svědectví pozvaného hosta, propojení kulturní (výstava, </w:t>
      </w:r>
      <w:proofErr w:type="gramStart"/>
      <w:r>
        <w:t>exkurze,...), prvek</w:t>
      </w:r>
      <w:proofErr w:type="gramEnd"/>
      <w:r>
        <w:t xml:space="preserve"> solidarity (dělit se, misie, starost o chudé, nemocné,...), ...</w:t>
      </w:r>
    </w:p>
    <w:p w14:paraId="59EA6F36" w14:textId="77777777" w:rsidR="00C206E5" w:rsidRDefault="00462B98" w:rsidP="00423EA3">
      <w:pPr>
        <w:spacing w:before="240" w:after="0"/>
        <w:jc w:val="both"/>
      </w:pPr>
      <w:r>
        <w:rPr>
          <w:b/>
        </w:rPr>
        <w:t>Modlitba:</w:t>
      </w:r>
      <w:r>
        <w:t xml:space="preserve"> </w:t>
      </w:r>
    </w:p>
    <w:p w14:paraId="0000001F" w14:textId="11B950E6" w:rsidR="00EA44E4" w:rsidRDefault="00462B98" w:rsidP="00423EA3">
      <w:pPr>
        <w:spacing w:after="240"/>
        <w:jc w:val="both"/>
      </w:pPr>
      <w:r>
        <w:t xml:space="preserve">Většina setkání, většina způsobů zpracování tématu také vede ke spontánní modlitbě, jako odpovědi na Boží lásku, kterou skrze dané téma </w:t>
      </w:r>
      <w:proofErr w:type="gramStart"/>
      <w:r>
        <w:t>poznáváme...</w:t>
      </w:r>
      <w:proofErr w:type="gramEnd"/>
      <w:r>
        <w:t xml:space="preserve"> Modlitba zde není jen odříkání nějakých slov, ale děti jsou vedeny k postoji modlitby vnitřním i vnějším způsobem; "modlitba je setkáním s Bohem, je to čas, který dáváme Bohu, kdy s ním mluvíme, nebo v jeho přítomnosti mlčíme, kdy s ním prostě jenom </w:t>
      </w:r>
      <w:proofErr w:type="gramStart"/>
      <w:r>
        <w:t>jsme...</w:t>
      </w:r>
      <w:proofErr w:type="gramEnd"/>
      <w:r>
        <w:t xml:space="preserve"> Můžeme mu svěřit své radosti i těžkosti a můžeme se nechat Bohem proměňovat".</w:t>
      </w:r>
    </w:p>
    <w:p w14:paraId="00000020" w14:textId="77777777" w:rsidR="00EA44E4" w:rsidRDefault="00462B98" w:rsidP="00423EA3">
      <w:pPr>
        <w:spacing w:before="240" w:after="0"/>
        <w:jc w:val="both"/>
      </w:pPr>
      <w:r>
        <w:t>Modlitba má své pevné místo v čase i prostoru:</w:t>
      </w:r>
    </w:p>
    <w:p w14:paraId="00000021" w14:textId="05FDA95A" w:rsidR="00EA44E4" w:rsidRDefault="00462B98" w:rsidP="00423EA3">
      <w:pPr>
        <w:spacing w:after="0" w:line="240" w:lineRule="auto"/>
        <w:jc w:val="both"/>
      </w:pPr>
      <w:r>
        <w:t>*v místnosti se vytvoří modlitební koutek se svíčkou, ikon</w:t>
      </w:r>
      <w:r w:rsidR="008F01A8">
        <w:t>ou, Biblí; kobercem a polštářky</w:t>
      </w:r>
    </w:p>
    <w:p w14:paraId="00000022" w14:textId="59AC393B" w:rsidR="00EA44E4" w:rsidRDefault="00462B98" w:rsidP="00423EA3">
      <w:pPr>
        <w:spacing w:after="0" w:line="240" w:lineRule="auto"/>
        <w:jc w:val="both"/>
      </w:pPr>
      <w:r>
        <w:t>*atmosféru můžeme</w:t>
      </w:r>
      <w:r w:rsidR="008F01A8">
        <w:t xml:space="preserve"> naladit pomocí</w:t>
      </w:r>
      <w:r>
        <w:t xml:space="preserve"> hudb</w:t>
      </w:r>
      <w:r w:rsidR="008F01A8">
        <w:t>y</w:t>
      </w:r>
    </w:p>
    <w:p w14:paraId="00000023" w14:textId="77777777" w:rsidR="00EA44E4" w:rsidRDefault="00462B98" w:rsidP="00423EA3">
      <w:pPr>
        <w:spacing w:after="0" w:line="240" w:lineRule="auto"/>
        <w:jc w:val="both"/>
      </w:pPr>
      <w:r>
        <w:t>*modlit se věrně a pravidelně; společně vybírat chvíli pro modlitbu</w:t>
      </w:r>
    </w:p>
    <w:p w14:paraId="00000024" w14:textId="77777777" w:rsidR="00EA44E4" w:rsidRDefault="00462B98" w:rsidP="00423EA3">
      <w:pPr>
        <w:spacing w:after="0" w:line="240" w:lineRule="auto"/>
        <w:jc w:val="both"/>
      </w:pPr>
      <w:r>
        <w:t>*učí se různým postojům, učí se být v tichu</w:t>
      </w:r>
    </w:p>
    <w:p w14:paraId="00000025" w14:textId="77777777" w:rsidR="00EA44E4" w:rsidRDefault="00462B98" w:rsidP="00423EA3">
      <w:pPr>
        <w:spacing w:after="240" w:line="240" w:lineRule="auto"/>
        <w:jc w:val="both"/>
      </w:pPr>
      <w:r>
        <w:t xml:space="preserve">*důležitost také gest: vyjádření chvály, otevřenosti, pokory, </w:t>
      </w:r>
      <w:proofErr w:type="gramStart"/>
      <w:r>
        <w:t>prosby,... (v souvislosti</w:t>
      </w:r>
      <w:proofErr w:type="gramEnd"/>
      <w:r>
        <w:t xml:space="preserve"> s obsahem modlitby nebo písně)</w:t>
      </w:r>
    </w:p>
    <w:p w14:paraId="2A6D96F6" w14:textId="77777777" w:rsidR="00C206E5" w:rsidRDefault="00462B98" w:rsidP="00423EA3">
      <w:pPr>
        <w:spacing w:before="240" w:after="0"/>
        <w:jc w:val="both"/>
        <w:rPr>
          <w:b/>
        </w:rPr>
      </w:pPr>
      <w:r>
        <w:rPr>
          <w:b/>
        </w:rPr>
        <w:t>Téma</w:t>
      </w:r>
      <w:r w:rsidR="00C206E5">
        <w:rPr>
          <w:b/>
        </w:rPr>
        <w:t>:</w:t>
      </w:r>
    </w:p>
    <w:p w14:paraId="00000026" w14:textId="32764FA1" w:rsidR="00EA44E4" w:rsidRDefault="00C206E5" w:rsidP="00423EA3">
      <w:pPr>
        <w:spacing w:after="240"/>
        <w:jc w:val="both"/>
      </w:pPr>
      <w:r>
        <w:t>J</w:t>
      </w:r>
      <w:r w:rsidR="00462B98">
        <w:t xml:space="preserve">e s dětmi probíráno tak, aby ony samy o něm přemýšlely, nechaly se oslovit, aby si ho spojily se svým životem. Není to tedy katecheta, kdo dětem diktuje "závěry", ale formulují je, za podpory katechety, děti samy (každé dítě tak bude mít své výstupy k </w:t>
      </w:r>
      <w:proofErr w:type="gramStart"/>
      <w:r w:rsidR="00462B98">
        <w:t>tématu) . Děti</w:t>
      </w:r>
      <w:proofErr w:type="gramEnd"/>
      <w:r w:rsidR="00462B98">
        <w:t xml:space="preserve"> si také samy zformulují, co je v tématu oslovilo, jak to souvisí s jejich životem.</w:t>
      </w:r>
    </w:p>
    <w:p w14:paraId="138469AB" w14:textId="63008FEC" w:rsidR="00C206E5" w:rsidRPr="00C206E5" w:rsidRDefault="00C206E5" w:rsidP="00423EA3">
      <w:pPr>
        <w:spacing w:before="240" w:after="0"/>
        <w:jc w:val="both"/>
        <w:rPr>
          <w:b/>
        </w:rPr>
      </w:pPr>
      <w:r w:rsidRPr="00C206E5">
        <w:rPr>
          <w:b/>
        </w:rPr>
        <w:t>Čtení Božího slova:</w:t>
      </w:r>
    </w:p>
    <w:p w14:paraId="60815BC8" w14:textId="7879DE9C" w:rsidR="007645C3" w:rsidRPr="007F6A68" w:rsidRDefault="00C206E5" w:rsidP="007F6A68">
      <w:pPr>
        <w:spacing w:after="240"/>
        <w:jc w:val="both"/>
      </w:pPr>
      <w:r>
        <w:t>Děti j</w:t>
      </w:r>
      <w:r w:rsidR="00462B98">
        <w:t xml:space="preserve">sou vedeny ke </w:t>
      </w:r>
      <w:r w:rsidR="00462B98" w:rsidRPr="00C206E5">
        <w:t>čtení Božího slova</w:t>
      </w:r>
      <w:r w:rsidR="00462B98">
        <w:t>, učí se mu porozumět v souvislostech, ale také jsou vedeny k</w:t>
      </w:r>
      <w:r w:rsidR="00A977DA">
        <w:t> </w:t>
      </w:r>
      <w:r w:rsidR="00462B98">
        <w:t>tomu, aby se jím nechaly oslovit zcela osobně do svého života.</w:t>
      </w:r>
    </w:p>
    <w:p w14:paraId="45B253F6" w14:textId="4A01F827" w:rsidR="00C206E5" w:rsidRPr="00C206E5" w:rsidRDefault="00C206E5" w:rsidP="00423EA3">
      <w:pPr>
        <w:spacing w:before="240" w:after="0"/>
        <w:jc w:val="both"/>
        <w:rPr>
          <w:b/>
        </w:rPr>
      </w:pPr>
      <w:r w:rsidRPr="00C206E5">
        <w:rPr>
          <w:b/>
        </w:rPr>
        <w:t>Slavnost:</w:t>
      </w:r>
    </w:p>
    <w:p w14:paraId="000000AD" w14:textId="5E569212" w:rsidR="00EA44E4" w:rsidRPr="00423EA3" w:rsidRDefault="00462B98" w:rsidP="00E617EF">
      <w:pPr>
        <w:spacing w:after="240"/>
        <w:jc w:val="both"/>
      </w:pPr>
      <w:r>
        <w:t>Každý modul</w:t>
      </w:r>
      <w:r w:rsidR="00264067">
        <w:t xml:space="preserve"> můžete ukončit tzv. </w:t>
      </w:r>
      <w:r>
        <w:rPr>
          <w:b/>
        </w:rPr>
        <w:t xml:space="preserve">slavností, </w:t>
      </w:r>
      <w:r>
        <w:t xml:space="preserve">které se mohou účastnit nejen děti a jejich rodiče, </w:t>
      </w:r>
      <w:proofErr w:type="spellStart"/>
      <w:r>
        <w:t>katecheté</w:t>
      </w:r>
      <w:proofErr w:type="spellEnd"/>
      <w:r>
        <w:t xml:space="preserve"> a d</w:t>
      </w:r>
      <w:r w:rsidR="00264067">
        <w:t xml:space="preserve">alší pomocníci, ale přizvána může být i </w:t>
      </w:r>
      <w:r>
        <w:t>celá farnost (dle místních možností). Tato slavnost je dovršením prošlé etapy, pomáhá ji shrnout pomocí Božího slova, které tu opět zazní,</w:t>
      </w:r>
      <w:r w:rsidR="00264067">
        <w:t xml:space="preserve"> ukázkou materiálů či jiných výstupů, které během katechezí vznikly. Tyto slavnosti mohou být důležité </w:t>
      </w:r>
      <w:r w:rsidR="00E617EF">
        <w:t xml:space="preserve">pro vzájemné vytváření společenství mezi dětmi a celou farností. </w:t>
      </w:r>
      <w:bookmarkStart w:id="16" w:name="_heading=h.hhrmmq7babgb" w:colFirst="0" w:colLast="0"/>
      <w:bookmarkEnd w:id="16"/>
    </w:p>
    <w:sectPr w:rsidR="00EA44E4" w:rsidRPr="00423EA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83B"/>
    <w:multiLevelType w:val="multilevel"/>
    <w:tmpl w:val="DC8C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E4"/>
    <w:rsid w:val="00264067"/>
    <w:rsid w:val="00423EA3"/>
    <w:rsid w:val="00462B98"/>
    <w:rsid w:val="007645C3"/>
    <w:rsid w:val="007F6A68"/>
    <w:rsid w:val="008F01A8"/>
    <w:rsid w:val="009E099D"/>
    <w:rsid w:val="00A977DA"/>
    <w:rsid w:val="00C206E5"/>
    <w:rsid w:val="00E617EF"/>
    <w:rsid w:val="00EA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022D6-CE09-4EE6-80EC-EC35E1BB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947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uiPriority w:val="9"/>
    <w:rsid w:val="0094709D"/>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BMVP8a0KFm1PIfbpsEkLEcs0g==">AMUW2mVMoVW2rhCMc7cjRSaqJpW4qnJbVxihBHw/N0zrwfVOYywl88FBE1FvyWi8cky4Qi0stpUE7VnQ7roFcvu9l88Sndnc2y82SxLrZaKi6Ao0ZeTgwUS+AUlyzjV+G4J9ubetRFTClDKQu0aE2HUckRXNxercbXxT/bnN8oDMNjwLeRZynCG0F1HxT5gWZpAkmYGqLK5Tsmz2omClfJdqPuIY1dnidQnVcws7/73nIoAhbL0rYPvNiWR2MeQ2Bcdtzqf71cp/hbAZxG7rYOYtu75eRBmTt5k5TJ6zWerK+wrqw6HZ6B9lZxtl78oCpCGo9G+TatNDE+xTO+WQYQzCUJrnO0ziGfIxCV3KPyp47yLNUjgI35Tf8/QmvQVffRStheh8tJl36NqnElcYYysqhXOzyKjy6s/3st2KhITk2hIeHOlJl5IDnW0CxP3VihSc5+pDsiKZhs/yvgVrW0XqaHpnA9ACVFDftCGCBfXF1mGJT4Yvglb4Ky/V0cU6HYWhM4tax9e2aEXvgcgAZV6NH6gBrEI1+jF4USFQQd59/gJ/L2+7Q8M4gscEjidSKTXdXmYdt1QLAqwGZD5ZzG9FquULs4Qro0BS405W8pJt0OaThrAIR8w9qk1Rw7WouMq3rZtywgm430r3Q/LHR3K9fCCSvFJJ+0TfwEc9ksLYSVyROQSU1UhcspSUnw54DclIRdfDNdlhKnjZzrHjN5Ffq4BTYJ+ioq/kbgaqvhVTj7KJjkTlVpmY2SuEouIqP+xthg6WNk2u+2DvwadCCUriDjP1CzKNYtNqkCyCWyvnCl4uZmu+W03L7NoA4TTkMK3Mq+a9y8ed751XkXafFZIxX2Jc2r1BKjGQAGnIZoGOROndmz5PEloy2duk1pj7GN8rCaFhOq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Rumpíková Markéta MgA.</cp:lastModifiedBy>
  <cp:revision>2</cp:revision>
  <dcterms:created xsi:type="dcterms:W3CDTF">2022-09-22T09:03:00Z</dcterms:created>
  <dcterms:modified xsi:type="dcterms:W3CDTF">2022-09-22T09:03:00Z</dcterms:modified>
</cp:coreProperties>
</file>